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12700</wp:posOffset>
                </wp:positionV>
                <wp:extent cx="1143000" cy="3048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ОТЧЕТЫ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899999999999999pt;margin-top:1.pt;width:90.pt;height:24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ОТЧЕТЫ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pBdr>
          <w:top w:val="single" w:sz="0" w:space="4" w:color="000000"/>
          <w:left w:val="single" w:sz="0" w:space="0" w:color="000000"/>
          <w:bottom w:val="single" w:sz="0" w:space="3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778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76" w:right="615" w:bottom="92" w:left="303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i w:val="0"/>
          <w:iCs w:val="0"/>
          <w:color w:val="FFFFFF"/>
          <w:spacing w:val="0"/>
          <w:w w:val="100"/>
          <w:position w:val="0"/>
          <w:sz w:val="20"/>
          <w:szCs w:val="20"/>
        </w:rPr>
        <w:t xml:space="preserve">Ne </w:t>
      </w:r>
      <w:r>
        <w:rPr>
          <w:b/>
          <w:bCs/>
          <w:i w:val="0"/>
          <w:iCs w:val="0"/>
          <w:color w:val="FFFFFF"/>
          <w:spacing w:val="0"/>
          <w:w w:val="100"/>
          <w:position w:val="0"/>
          <w:sz w:val="20"/>
          <w:szCs w:val="20"/>
        </w:rPr>
        <w:t xml:space="preserve">16 </w:t>
      </w:r>
      <w:r>
        <w:rPr>
          <w:i w:val="0"/>
          <w:iCs w:val="0"/>
          <w:color w:val="FFFFFF"/>
          <w:spacing w:val="0"/>
          <w:w w:val="100"/>
          <w:position w:val="0"/>
          <w:sz w:val="20"/>
          <w:szCs w:val="20"/>
        </w:rPr>
        <w:t>(1354), четверг, 25 апреля 2024 года</w:t>
      </w: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5840" w:h="12240" w:orient="landscape"/>
          <w:pgMar w:top="76" w:right="0" w:bottom="7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12700</wp:posOffset>
                </wp:positionV>
                <wp:extent cx="6858000" cy="41402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0" cy="414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</w:rPr>
                              <w:t>КАК ДОСТИЧЬ УСПЕХА В НЕУСПЕШНЫЙ ГОД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.75pt;margin-top:1.pt;width:540.pt;height:32.6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</w:rPr>
                        <w:t>КАК ДОСТИЧЬ УСПЕХА В НЕУСПЕШНЫЙ 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■ ТАТЬЯНА ПОТЁМКИНА.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33" w:lineRule="auto"/>
        <w:ind w:left="0" w:right="0" w:firstLine="280"/>
        <w:jc w:val="both"/>
        <w:rPr>
          <w:sz w:val="20"/>
          <w:szCs w:val="20"/>
        </w:rPr>
      </w:pP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Тюмень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 общем отчётном собрании представителей потребительских обществ Тюменского облсеверпотребсоюза обсуждали, чего и как удалось добиться в не самый успешный год.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своём докладе председатель совета Тюменского ОСПС Анатолий Мануйлов отметил: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- Отчётный год нельзя назвать успешным в части выполнения про</w:t>
        <w:softHyphen/>
        <w:t>граммы развития, но при этом в сово</w:t>
        <w:softHyphen/>
        <w:t>купном объёме вырос удельный вес про</w:t>
        <w:softHyphen/>
        <w:t>изводства товарной продукции, оборота оптовой торговли и других видов дея</w:t>
        <w:softHyphen/>
        <w:t>тельности. Объём товарной продукции составил около 350 миллионов рублей, рост к 2022 году - более 13 процентов, а в организациях Ямалпотребсоюза рост составил почти 17 процентов.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Продажа товаров собственного про</w:t>
        <w:softHyphen/>
        <w:t>изводства в розничной кооператив</w:t>
        <w:softHyphen/>
        <w:t>ной сети увеличилась по сравнению с 2022 годом почти на 20 процентов и со</w:t>
        <w:softHyphen/>
        <w:t>ставила более 211 миллионов. Оборот общественного питания за 2023 год - 426 миллионов рублей.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 2023 год организации системы Тюменского союза уплатили 269 милли оков рублей налогов в бюджет и внебюд</w:t>
        <w:softHyphen/>
        <w:t>жетные фонды. Чистая прибыль облсе</w:t>
        <w:softHyphen/>
        <w:t>верпотребсоюза составила 62 миллиона.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position w:val="0"/>
        </w:rPr>
        <w:t>ПРО ДИВЕРСИФИКАЦИЮ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Организации Тюменского союза удер</w:t>
        <w:softHyphen/>
        <w:t>жали и даже увеличили объёмы произ</w:t>
        <w:softHyphen/>
        <w:t>водства рыночных продуктов. Это и услу</w:t>
        <w:softHyphen/>
        <w:t>ги по организации питания учащихся, оказываемые Сургутским ПО в школах города Лянтора и двух столовых в школе посёлка Нижнесортымского. Оборот этих услуг в 2023 году составил более 237 мил</w:t>
        <w:softHyphen/>
        <w:t>лионов рублей, увеличившись па 15 про</w:t>
        <w:softHyphen/>
      </w:r>
      <w:r>
        <w:rPr>
          <w:color w:val="000000"/>
          <w:spacing w:val="0"/>
          <w:w w:val="100"/>
          <w:position w:val="0"/>
        </w:rPr>
        <w:t>центов. Газовское ПО оказало таких услуг на 20 миллионов рублей. Эти объёмы со</w:t>
        <w:softHyphen/>
        <w:t>ставляют более 55 процентов от общего оборота общественного питания.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11оставки товаров областным оптом - Северной межрайбазой другом участни</w:t>
        <w:softHyphen/>
        <w:t>кам рынка в 2023 году составили 130 мил</w:t>
        <w:softHyphen/>
        <w:t>лионов. Поставка товаров в федеральные и региональные торговые сети продукции собственного производства Ханты-Ман</w:t>
        <w:softHyphen/>
        <w:t>сийского горпо и 11риуральского РИО - почти тысяча, причём 90 процентов обес</w:t>
        <w:softHyphen/>
        <w:t>печило Ханты-Мансийское горпо.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ООО «Гыдаагро» Гыданского по</w:t>
        <w:softHyphen/>
        <w:t>требительского общества выловило 395 тонн рыбы.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Вся эта деятельность отличается слож</w:t>
        <w:softHyphen/>
        <w:t>ными бизнес-процессами. Организация школьного питания связана с торгами, строгом контролем надзорных органов и инфляционными рисками. Оптовые поставки коммерческим структурам воз</w:t>
        <w:softHyphen/>
        <w:t>можны только за счёт ценовой конку</w:t>
        <w:softHyphen/>
        <w:t>рентоспособности. 11оставка товаров в торговые сети сопряжена с ростом себе</w:t>
        <w:softHyphen/>
        <w:t>стоимости у поставщика и непринятием повышения цен у сетевых структур. Вы</w:t>
        <w:softHyphen/>
        <w:t>лов рыбы ограничен пределами лова на выделенные рыбопромысловые участки.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/>
        <w:ind w:left="0" w:right="0"/>
        <w:jc w:val="both"/>
      </w:pPr>
      <w:r>
        <w:rPr>
          <w:color w:val="000000"/>
          <w:spacing w:val="0"/>
          <w:w w:val="100"/>
          <w:position w:val="0"/>
        </w:rPr>
        <w:t>- Но эта диверсификация обеспечи</w:t>
        <w:softHyphen/>
        <w:t>вает нам более 15 процентов совокупно</w:t>
        <w:softHyphen/>
        <w:t>го объёма деятельности, что позволило иметь в структуре совокупного объёма деятельности союзов Уральского феде</w:t>
        <w:softHyphen/>
        <w:t>рального округа самый высокий удель</w:t>
        <w:softHyphen/>
        <w:t>ный вес по объёму товарной продукции, общественному питанию, оптовому обо</w:t>
        <w:softHyphen/>
        <w:t>роту'. - подчеркнул Анатолий Викторович.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position w:val="0"/>
        </w:rPr>
        <w:t>ПРО ДОСТИЖЕНИЯ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 Тюменского ОСГ</w:t>
      </w:r>
      <w:r>
        <w:rPr>
          <w:color w:val="000000"/>
          <w:spacing w:val="0"/>
          <w:w w:val="100"/>
          <w:position w:val="0"/>
        </w:rPr>
        <w:t xml:space="preserve">IC- </w:t>
      </w:r>
      <w:r>
        <w:rPr>
          <w:color w:val="000000"/>
          <w:spacing w:val="0"/>
          <w:w w:val="100"/>
          <w:position w:val="0"/>
        </w:rPr>
        <w:t>самый высокий показатель объёма товарной продукции среди союзов УрФО. Объёмы оборота общественного питания, выработка соб</w:t>
        <w:softHyphen/>
        <w:t>ственной продукции у Тюменского союза также самые высокие в УрФО. Оптовый оборот организаций системы Тюменско</w:t>
        <w:softHyphen/>
      </w:r>
      <w:r>
        <w:rPr>
          <w:color w:val="000000"/>
          <w:spacing w:val="0"/>
          <w:w w:val="100"/>
          <w:position w:val="0"/>
        </w:rPr>
        <w:t xml:space="preserve">го (X </w:t>
      </w:r>
      <w:r>
        <w:rPr>
          <w:color w:val="000000"/>
          <w:spacing w:val="0"/>
          <w:w w:val="100"/>
          <w:position w:val="0"/>
        </w:rPr>
        <w:t xml:space="preserve">JIC </w:t>
      </w:r>
      <w:r>
        <w:rPr>
          <w:color w:val="000000"/>
          <w:spacing w:val="0"/>
          <w:w w:val="100"/>
          <w:position w:val="0"/>
        </w:rPr>
        <w:t>составляет 93 процента от обще</w:t>
        <w:softHyphen/>
        <w:t>го оптового оборота союзов УрФО.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5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протяжении 2023 года Тюменско</w:t>
        <w:softHyphen/>
        <w:t>му союзу ежеквартально присуждалось первое место по УрФО «За эффективное развитие отраслей деятельности».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72720"/>
          <w:spacing w:val="0"/>
          <w:position w:val="0"/>
        </w:rPr>
        <w:t xml:space="preserve">ПРО </w:t>
      </w:r>
      <w:r>
        <w:rPr>
          <w:color w:val="000000"/>
          <w:spacing w:val="0"/>
          <w:position w:val="0"/>
        </w:rPr>
        <w:t xml:space="preserve">СЕВЕРНЫЙ </w:t>
      </w:r>
      <w:r>
        <w:rPr>
          <w:color w:val="372720"/>
          <w:spacing w:val="0"/>
          <w:position w:val="0"/>
        </w:rPr>
        <w:t>ЗАВОЗ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Особое место в работе Тюменского ОСПС всегда занимает досрочный (север</w:t>
        <w:softHyphen/>
        <w:t>ный) завоз товаров. Проблема в том, что у организаций недостаточно собственных финансов для полного удовлетворения потребностей населения в товарах н услу</w:t>
        <w:softHyphen/>
        <w:t>гах. поэтому потребобщества должны изыскивать денежные средства В первую очередь это касается организаций Ямал</w:t>
        <w:softHyphen/>
        <w:t>потребсоюза Они за отчётный период получили 127 миллионов рублей заёмных средств. Вот схема движения товаров на примере Сеяхинского ПО в летний пери</w:t>
        <w:softHyphen/>
        <w:t>од: товары доставляются железнодорож</w:t>
        <w:softHyphen/>
        <w:t xml:space="preserve">ным транспортом до города Лабытнанги, водным и автомобильным транспортом из Тюмени до (Салехарда с расстояниями соответственно 1972 километра </w:t>
      </w:r>
      <w:r>
        <w:rPr>
          <w:color w:val="372720"/>
          <w:spacing w:val="0"/>
          <w:w w:val="100"/>
          <w:position w:val="0"/>
        </w:rPr>
        <w:t xml:space="preserve">и </w:t>
      </w:r>
      <w:r>
        <w:rPr>
          <w:color w:val="000000"/>
          <w:spacing w:val="0"/>
          <w:w w:val="100"/>
          <w:position w:val="0"/>
        </w:rPr>
        <w:t>2115 ки</w:t>
        <w:softHyphen/>
        <w:t>лометров, а затем с перевалкой на судно (типа «река море»), имеющее выход в Об</w:t>
        <w:softHyphen/>
        <w:t>скую губу, транспортируется ещё 710 ки</w:t>
        <w:softHyphen/>
        <w:t>лометров ватным транспортом.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Северная межрайбаза выполнила все заявки ио отгрузке товаров для органи</w:t>
        <w:softHyphen/>
        <w:t>заций системы, большую часть - водным путём, несмотря на сложные погодные условия, а именно мелководье реки 1уры.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position w:val="0"/>
        </w:rPr>
        <w:t>ПРО помощь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position w:val="0"/>
        </w:rPr>
        <w:t>УЧАСТНИКАМ СВО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Выступавшие на собрании говорили о том, что организации системы Тюмен</w:t>
        <w:softHyphen/>
        <w:t>ского союза активно оказывают помощь участникам СВО и работа эта носит не разовый характер, а проводится на по</w:t>
        <w:softHyphen/>
        <w:t>стоянной основе.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Присутствовавшие на отчётном со</w:t>
        <w:softHyphen/>
        <w:t>брании Ямалпотребсоюза представи</w:t>
        <w:softHyphen/>
      </w:r>
      <w:r>
        <w:rPr>
          <w:color w:val="000000"/>
          <w:spacing w:val="0"/>
          <w:w w:val="100"/>
          <w:position w:val="0"/>
        </w:rPr>
        <w:t>тели государственной власти округа дали высокую оценку Приуральскому райпо и лично его руководителю Нико</w:t>
        <w:softHyphen/>
        <w:t>лаю Дмитриеву за оказанную безвоз</w:t>
        <w:softHyphen/>
        <w:t>мездную помощь и организацию отправ</w:t>
        <w:softHyphen/>
        <w:t>ки гуманитарных грузов для участников специальной поенной операции.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Коллектив Сургутского межрайпо</w:t>
        <w:softHyphen/>
        <w:t>требсоюза закупил и отправил участ</w:t>
        <w:softHyphen/>
        <w:t>никам СВО продуктов питания, обуви, одежды, электротоваров, носилок, би</w:t>
        <w:softHyphen/>
        <w:t>ноклей. спальников, медикаментов на общую сумму 572 тысячи рублей. Кроме того, неравнодушные работники потре- бобществ Сургутского МРПС и лично, и семьями участвовали в сборе и отправ</w:t>
        <w:softHyphen/>
        <w:t>ке посылок бойцам.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Октябрьское ПО ежемесячно по</w:t>
        <w:softHyphen/>
        <w:t>сылает участникам военной операции около 200 килограммов гуманитарной помощи: консервы мясные, рыбные, молочные, чай. кондитерские изделия, маскировочные сети, окопные свечи. К празднику 23 февраля потребобщест- во и жители посёлка собрали посылки для ребят из Октябрьского, которые уча</w:t>
        <w:softHyphen/>
        <w:t>ствуют в СВО; на безвозмездной основе передали бойцам автомобиль УАЗ.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position w:val="0"/>
        </w:rPr>
        <w:t>КАКОВ ИТОГ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Выступавшие на собрании руковаш- телн предложили оценить работу совета Тюменского ОСПС на «хорошо» и даже «отлично». Ярослав Грещук, председатель совета Ханты-Мансийского горпо, сказал, что в докладе была представлена исчер пывающая ин(|юрмация, а работу Тюмен</w:t>
        <w:softHyphen/>
        <w:t>ского союза нужно признать отличной.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Председатель совета Сургутского МРПС Елизавета Завьялова подчеркну</w:t>
        <w:softHyphen/>
        <w:t>ла, что консультации, которые прово</w:t>
        <w:softHyphen/>
        <w:t>дит областной союз, можно приравнять к курсам повышения квалификации.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Подводя итог, Анатолии Мануйлов сказал: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- Наша основная задача - выполне</w:t>
        <w:softHyphen/>
        <w:t>ние Программы развития кооператив</w:t>
        <w:softHyphen/>
        <w:t>ных организаций на 2024 год. А он для нас юбилейный, в конце августа мы от</w:t>
        <w:softHyphen/>
        <w:t>метим 80-летие Тюменского союза.</w:t>
      </w:r>
    </w:p>
    <w:sectPr>
      <w:footnotePr>
        <w:pos w:val="pageBottom"/>
        <w:numFmt w:val="decimal"/>
        <w:numRestart w:val="continuous"/>
      </w:footnotePr>
      <w:type w:val="continuous"/>
      <w:pgSz w:w="15840" w:h="12240" w:orient="landscape"/>
      <w:pgMar w:top="76" w:right="615" w:bottom="76" w:left="428" w:header="0" w:footer="3" w:gutter="0"/>
      <w:cols w:num="4" w:space="275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5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9">
    <w:name w:val="Основной текст (4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w w:val="80"/>
      <w:sz w:val="56"/>
      <w:szCs w:val="56"/>
      <w:u w:val="none"/>
      <w:shd w:val="clear" w:color="auto" w:fill="auto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180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w w:val="80"/>
      <w:sz w:val="56"/>
      <w:szCs w:val="56"/>
      <w:u w:val="none"/>
      <w:shd w:val="clear" w:color="auto" w:fill="auto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  <w:spacing w:line="254" w:lineRule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